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2E097C" w:rsidRDefault="007E09BB" w:rsidP="002E097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52471AE-1670-44D9-93E2-44B3DD6B975F" style="width:450pt;height:396pt">
            <v:imagedata r:id="rId7" o:title=""/>
          </v:shape>
        </w:pict>
      </w:r>
    </w:p>
    <w:p w:rsidR="002402D9" w:rsidRPr="002E097C" w:rsidRDefault="002402D9">
      <w:pPr>
        <w:sectPr w:rsidR="002402D9" w:rsidRPr="002E097C" w:rsidSect="002E097C">
          <w:footerReference w:type="default" r:id="rId8"/>
          <w:pgSz w:w="11907" w:h="16839"/>
          <w:pgMar w:top="1134" w:right="1417" w:bottom="1134" w:left="1417" w:header="709" w:footer="709" w:gutter="0"/>
          <w:pgNumType w:start="0"/>
          <w:cols w:space="720"/>
          <w:docGrid w:linePitch="360"/>
        </w:sectPr>
      </w:pPr>
    </w:p>
    <w:p w:rsidR="002402D9" w:rsidRPr="002E097C" w:rsidRDefault="002E097C" w:rsidP="002E097C">
      <w:pPr>
        <w:pStyle w:val="Typedudocument"/>
      </w:pPr>
      <w:r w:rsidRPr="002E097C">
        <w:lastRenderedPageBreak/>
        <w:t>KOMISIJOS ĮGYVENDINIMO SPRENDIMAS (ES) …/...</w:t>
      </w:r>
    </w:p>
    <w:p w:rsidR="002402D9" w:rsidRPr="002E097C" w:rsidRDefault="002E097C" w:rsidP="002E097C">
      <w:pPr>
        <w:pStyle w:val="Datedadoption"/>
      </w:pPr>
      <w:r w:rsidRPr="002E097C">
        <w:rPr>
          <w:rStyle w:val="Marker2"/>
        </w:rPr>
        <w:t>XXX</w:t>
      </w:r>
    </w:p>
    <w:p w:rsidR="002402D9" w:rsidRPr="002E097C" w:rsidRDefault="002E097C" w:rsidP="002E097C">
      <w:pPr>
        <w:pStyle w:val="Titreobjet"/>
      </w:pPr>
      <w:r w:rsidRPr="002E097C">
        <w:t>dėl duomenų valdytojų ir duomenų tvarkytojų standartinių sutarčių sąlygų pagal Europos Parlamento ir Tarybos reglamento (ES) 2016/679 28 straipsnio 7 dalį ir Europos Parlamento ir Tarybos reglamento (ES) 2018/1725 29 straipsnio 7 dalį</w:t>
      </w:r>
    </w:p>
    <w:p w:rsidR="002402D9" w:rsidRPr="002E097C" w:rsidRDefault="002E097C" w:rsidP="002E097C">
      <w:pPr>
        <w:pStyle w:val="IntrtEEE"/>
      </w:pPr>
      <w:r w:rsidRPr="002E097C">
        <w:t>(Tekstas svarbus EEE)</w:t>
      </w:r>
    </w:p>
    <w:p w:rsidR="002402D9" w:rsidRPr="002E097C" w:rsidRDefault="002402D9" w:rsidP="002402D9">
      <w:pPr>
        <w:pStyle w:val="Institutionquiagit"/>
      </w:pPr>
      <w:r w:rsidRPr="002E097C">
        <w:t>EUROPOS KOMISIJA,</w:t>
      </w:r>
    </w:p>
    <w:p w:rsidR="002402D9" w:rsidRPr="002E097C" w:rsidRDefault="002402D9" w:rsidP="002402D9">
      <w:r w:rsidRPr="002E097C">
        <w:rPr>
          <w:color w:val="000000"/>
        </w:rPr>
        <w:t>atsižvelgdama į Sutartį dėl Europos Sąjungos veikimo</w:t>
      </w:r>
      <w:r w:rsidRPr="002E097C">
        <w:t>,</w:t>
      </w:r>
    </w:p>
    <w:p w:rsidR="002402D9" w:rsidRPr="002E097C" w:rsidRDefault="002402D9" w:rsidP="002402D9">
      <w:r w:rsidRPr="002E097C">
        <w:t>atsižvelgdama į 2016 m. balandžio 27 d. Europos Parlamento ir Tarybos reglamentą (ES) 2016/679 dėl fizinių asmenų apsaugos tvarkant asmens duomenis ir dėl laisvo tokių duomenų judėjimo ir kuriuo panaikinama Direktyva 95/46/EB (BDAR)</w:t>
      </w:r>
      <w:r w:rsidRPr="002E097C">
        <w:rPr>
          <w:rStyle w:val="FootnoteReference"/>
        </w:rPr>
        <w:footnoteReference w:id="1"/>
      </w:r>
      <w:r w:rsidRPr="002E097C">
        <w:t xml:space="preserve">, ypač į jo 28 straipsnio 7 dalį, </w:t>
      </w:r>
    </w:p>
    <w:p w:rsidR="002402D9" w:rsidRPr="002E097C" w:rsidRDefault="002402D9" w:rsidP="002402D9">
      <w:r w:rsidRPr="002E097C">
        <w:t>atsižvelgdama į 2018 m. spalio 23 d. Europos Parlamento ir Tarybos reglamentą (ES) 2018/1725 dėl fizinių asmenų apsaugos Sąjungos institucijoms, organams, tarnyboms ir agentūroms tvarkant asmens duomenis ir dėl laisvo tokių duomenų judėjimo, kuriuo panaikinamas Reglamentas (EB) Nr. 45/2001 ir Sprendimas Nr. 1247/2002/EB (ESDAR)</w:t>
      </w:r>
      <w:r w:rsidRPr="002E097C">
        <w:rPr>
          <w:rStyle w:val="FootnoteReference"/>
        </w:rPr>
        <w:footnoteReference w:id="2"/>
      </w:r>
      <w:r w:rsidRPr="002E097C">
        <w:t>, ypač į jo 29 straipsnio 7 dalį,</w:t>
      </w:r>
    </w:p>
    <w:p w:rsidR="002402D9" w:rsidRPr="002E097C" w:rsidRDefault="002402D9" w:rsidP="002402D9">
      <w:r w:rsidRPr="002E097C">
        <w:t>kadangi:</w:t>
      </w:r>
    </w:p>
    <w:p w:rsidR="002402D9" w:rsidRPr="002E097C" w:rsidRDefault="002402D9" w:rsidP="00364079">
      <w:pPr>
        <w:pStyle w:val="Considrant"/>
        <w:numPr>
          <w:ilvl w:val="0"/>
          <w:numId w:val="1"/>
        </w:numPr>
      </w:pPr>
      <w:r w:rsidRPr="002E097C">
        <w:t>duomenų valdytojo ir duomenų tvarkytojo sąvokos yra labai svarbios taikant Reglamentą (ES) 2016/679 ir Reglamentą (ES) 2018/1725. Duomenų valdytojas yra fizinis arba juridinis asmuo, valdžios institucija, agentūra ar kita įstaiga, kuris vienas ar drauge su kitais nustato duomenų tvarkymo tikslus ir priemones. Taikant Reglamentą (ES) 2018/1725, duomenų valdytojas yra Sąjungos institucija ar organas arba generalinis direktoratas, arba bet kuris kitas organizacinis vienetas, kuris vienas ar drauge su kitais nustato asmens duomenų tvarkymo tikslus ir priemones. Kai tokio duomenų tvarkymo tikslai ir priemonės nustatyti konkretaus Sąjungos teisės akto, duomenų valdytojas arba konkretūs jo skyrimo kriterijai gali būti nustatyti Sąjungos. Duomenų tvarkytojas yra fizinis ar juridinis asmuo, valdžios institucija, agentūra ar kita įstaiga, kuri duomenų valdytojo vardu tvarko asmens duomenis;</w:t>
      </w:r>
    </w:p>
    <w:p w:rsidR="002402D9" w:rsidRPr="002E097C" w:rsidRDefault="002402D9" w:rsidP="009237D1">
      <w:pPr>
        <w:pStyle w:val="Considrant"/>
      </w:pPr>
      <w:r w:rsidRPr="002E097C">
        <w:t>duomenų valdytojų ir duomenų tvarkytojų, kuriems taikomas Reglamentas (ES) 2016/679 ir Reglamentas (ES) 2018/1725, santykiams turėtų būti taikomas tas pats standartinių sutarčių sąlygų rinkinys. Taip yra todėl, kad siekiant nuoseklaus požiūrio į asmens duomenų apsaugą visoje Sąjungoje ir laisvo asmens duomenų judėjimo Sąjungoje, Reglamente (ES) 2016/679 nustatytos valstybių narių viešajam sektoriui taikomos duomenų apsaugos taisyklės ir</w:t>
      </w:r>
      <w:r w:rsidR="002E097C">
        <w:t xml:space="preserve"> </w:t>
      </w:r>
      <w:r w:rsidRPr="002E097C">
        <w:t xml:space="preserve">Reglamente (ES) 2018/1725 nustatytos Sąjungos institucijoms, organams, tarnyboms ir agentūroms taikomos duomenų apsaugos taisyklės kiek įmanoma suderintos; </w:t>
      </w:r>
    </w:p>
    <w:p w:rsidR="002402D9" w:rsidRPr="002E097C" w:rsidRDefault="002402D9" w:rsidP="002402D9">
      <w:pPr>
        <w:pStyle w:val="Considrant"/>
      </w:pPr>
      <w:r w:rsidRPr="002E097C">
        <w:t>siekdamas užtikrinti, kad būtų laikomasi reglamentų (ES) 2016/679 ir (ES) 2018/1725 reikalavimų, duomenų valdytojas, patikėdamas duomenų tvarkytojui duomenų tvarkymo veiklą, turėtų pasitelkti tik tokius duomenų tvarkytojus, kurie suteikia pakankamas garantijas, susijusias, visų pirma, su ekspertinėmis žiniomis, patikimumu ir ištekliais, kad būtų įgyvendintos techninės ir organizacinės priemonės, kurios atitinka Reglamento (ES) 2016/679 ir Reglamento (ES) 2018/1725 reikalavimus, įskaitant dėl duomenų tvarkymo saugumo;</w:t>
      </w:r>
    </w:p>
    <w:p w:rsidR="002402D9" w:rsidRPr="002E097C" w:rsidRDefault="002402D9" w:rsidP="002402D9">
      <w:pPr>
        <w:pStyle w:val="Considrant"/>
      </w:pPr>
      <w:r w:rsidRPr="002E097C">
        <w:t>duomenų tvarkytojo atliekamas duomenų tvarkymas turi būti reglamentuojamas sutartimi arba kitu teisės aktu pagal Sąjungos arba valstybės narės teisę, kuris yra privalomas duomenų tvarkytojui duomenų valdytojo atžvilgiu ir kuriame nustatyta Reglamento (ES) 2016/679 28 straipsnio 3 ir 4 dalyse arba Reglamento (ES) 2018/1725 29 straipsnio 3 ir 4 dalyse išvardyta informacija. Tokia sutartis arba aktas yra parengiami raštu, įskaitant elektroninę formą;</w:t>
      </w:r>
    </w:p>
    <w:p w:rsidR="002402D9" w:rsidRPr="002E097C" w:rsidRDefault="002402D9" w:rsidP="002402D9">
      <w:pPr>
        <w:pStyle w:val="Considrant"/>
      </w:pPr>
      <w:r w:rsidRPr="002E097C">
        <w:t xml:space="preserve">pagal Reglamento (ES) 2016/679 28 straipsnio 6 dalį ir Reglamento (ES) 2018/1725 29 straipsnio 6 dalį duomenų valdytojas ir duomenų tvarkytojas gali pasirinkti, ar derėtis dėl atskiros sutarties, kurioje būtų pateikta atitinkamai Reglamento (ES) 2016/679 28 straipsnio 3 ir 4 dalyse arba Reglamento (ES) 2018/1725 29 straipsnio 3 ir 4 dalyse nustatyta privaloma informacija, ar visiškai arba iš dalies naudoti standartines sutarčių sąlygas, kurias Komisija priėmė pagal Reglamento (ES) 2016/679 28 straipsnio 7 dalį ir Reglamento (ES) 2018/1725 29 straipsnio 7 dalį; </w:t>
      </w:r>
    </w:p>
    <w:p w:rsidR="002402D9" w:rsidRPr="002E097C" w:rsidRDefault="002402D9" w:rsidP="002402D9">
      <w:pPr>
        <w:pStyle w:val="Considrant"/>
      </w:pPr>
      <w:r w:rsidRPr="002E097C">
        <w:t>duomenų valdytojas ir duomenų tvarkytojas turėtų turėti galimybę įtraukti šiame sprendime nustatytas standartines sutarčių sąlygas į platesnę sutartį ir įtraukti kitas sąlygas ar papildomas apsaugos priemones su sąlyga, kad jos tiesiogiai ar netiesiogiai neprieštarauja standartinėms sutarčių sąlygoms ir nepažeidžia duomenų subjektų pagrindinių teisių ar laisvių. Standartinės sutarčių sąlygos taikomos neatsižvelgiant į duomenų valdytojo ir (arba) duomenų tvarkytojo sutartinius įsipareigojimus užtikrinti taikytinų privilegijų ir imunitetų laikymąsi;</w:t>
      </w:r>
    </w:p>
    <w:p w:rsidR="002402D9" w:rsidRPr="002E097C" w:rsidRDefault="002402D9" w:rsidP="002402D9">
      <w:pPr>
        <w:pStyle w:val="Considrant"/>
      </w:pPr>
      <w:r w:rsidRPr="002E097C">
        <w:t xml:space="preserve">standartinės sutarčių sąlygos turėtų apimti ir materialines, ir procesines taisykles. Pagal Reglamento (ES) 2016/679 28 straipsnio 3 dalį ir Reglamento (ES) 2018/1725 29 straipsnio 3 dalį standartinėse sutarčių sąlygose taip pat turėtų būti reikalaujama, kad duomenų valdytojas ir duomenų tvarkytojas nustatytų duomenų tvarkymo dalyką ir trukmę, jo pobūdį ir tikslą, atitinkamų asmens duomenų rūšį, duomenų subjektų kategorijas ir duomenų valdytojo prievoles bei teises; </w:t>
      </w:r>
    </w:p>
    <w:p w:rsidR="002402D9" w:rsidRPr="002E097C" w:rsidRDefault="002402D9" w:rsidP="002402D9">
      <w:pPr>
        <w:pStyle w:val="Considrant"/>
      </w:pPr>
      <w:r w:rsidRPr="002E097C">
        <w:t>pagal Reglamento (ES) 2016/679 28 straipsnio 3 dalį ir Reglamento (ES) 2018/1725 29 straipsnio 3 dalį duomenų tvarkytojas turi nedelsdamas informuoti duomenų valdytoją, jei, jo nuomone, duomenų valdytojo nurodymas pažeidžia Reglamentą (ES) 2016/679 arba Reglamentą (ES) 2018/1725 ar kitas Sąjungos ar valstybės narės duomenų apsaugos nuostatas;</w:t>
      </w:r>
    </w:p>
    <w:p w:rsidR="002402D9" w:rsidRPr="002E097C" w:rsidRDefault="005D6D0A" w:rsidP="002402D9">
      <w:pPr>
        <w:pStyle w:val="Considrant"/>
      </w:pPr>
      <w:r w:rsidRPr="002E097C">
        <w:t xml:space="preserve">jei duomenų tvarkytojas pasitelkia kitą duomenų tvarkytoją konkrečiai veiklai vykdyti, turėtų būti taikomi Reglamento (ES) 2016/679 28 straipsnio 2 ir 4 dalyse arba Reglamento (ES) 2018/1725 29 straipsnio 2 ir 4 dalyse nurodyti konkretūs reikalavimai. Visų pirma reikia gauti konkretų ar bendrą išankstinį rašytinį leidimą. Neatsižvelgiant į tai, ar šis išankstinis leidimas yra konkretus, ar bendras, pirmasis duomenų tvarkytojas turėtų nuolat atnaujinti kitų duomenų tvarkytojų sąrašą; </w:t>
      </w:r>
    </w:p>
    <w:p w:rsidR="002402D9" w:rsidRPr="002E097C" w:rsidRDefault="002402D9" w:rsidP="002402D9">
      <w:pPr>
        <w:pStyle w:val="Considrant"/>
      </w:pPr>
      <w:r w:rsidRPr="002E097C">
        <w:t xml:space="preserve">siekdama vykdyti Reglamento (ES) 2016/679 46 straipsnio 1 dalies reikalavimus, Komisija pagal Reglamento (ES) 2016/679 46 straipsnio 2 dalies c punktą priėmė standartines sutarčių sąlygas. Tos sąlygos taip pat atitinka Reglamento (ES) 2016/679 28 straipsnio 3 ir 4 dalių reikalavimus dėl duomenų perdavimo iš duomenų valdytojų, kuriems taikomas Reglamentas (ES) 2016/679, duomenų tvarkytojams, kurie nepatenka į to reglamento teritorinę taikymo sritį, arba iš duomenų tvarkytojų, kuriems taikomas Reglamentas (ES) 2016/679, pagalbiniams duomenų tvarkytojams, kurie nepatenka į to reglamento teritorinę taikymo sritį. Šios standartinės sutarčių sąlygos negali būti naudojamos kaip standartinės sutarčių sąlygos taikant Reglamento (ES) 2016/679 V skyrių; </w:t>
      </w:r>
    </w:p>
    <w:p w:rsidR="002402D9" w:rsidRPr="002E097C" w:rsidRDefault="002402D9" w:rsidP="002402D9">
      <w:pPr>
        <w:pStyle w:val="Considrant"/>
      </w:pPr>
      <w:r w:rsidRPr="002E097C">
        <w:t>trečiosios šalys turėtų turėti galimybę tapti standartinių sutarčių sąlygų šalimi per visą sutarties galiojimo laikotarpį;</w:t>
      </w:r>
    </w:p>
    <w:p w:rsidR="002402D9" w:rsidRPr="002E097C" w:rsidRDefault="002402D9" w:rsidP="002402D9">
      <w:pPr>
        <w:pStyle w:val="Considrant"/>
      </w:pPr>
      <w:r w:rsidRPr="002E097C">
        <w:t xml:space="preserve">standartinių sutarčių sąlygų taikymas turėtų būti įvertintas atliekant periodinį Reglamento (ES) 2016/679 vertinimą pagal to reglamento 97 straipsnį; </w:t>
      </w:r>
    </w:p>
    <w:p w:rsidR="002402D9" w:rsidRPr="002E097C" w:rsidRDefault="00EA7EE3" w:rsidP="00EA7EE3">
      <w:pPr>
        <w:pStyle w:val="Considrant"/>
      </w:pPr>
      <w:r w:rsidRPr="002E097C">
        <w:t xml:space="preserve"> pagal Reglamento (ES) 2018/1725 42 straipsnio 1 ir 2 dalis buvo konsultuojamasi su Europos duomenų apsaugos priežiūros pareigūnu ir Europos duomenų apsaugos valdyba, kurie 2021 m. sausio 14 d.</w:t>
      </w:r>
      <w:r w:rsidRPr="002E097C">
        <w:rPr>
          <w:rStyle w:val="FootnoteReference"/>
        </w:rPr>
        <w:footnoteReference w:id="3"/>
      </w:r>
      <w:r w:rsidRPr="002E097C">
        <w:t xml:space="preserve"> pateikė bendrą nuomonę, į kurią buvo atsižvelgta rengiant šį sprendimą;</w:t>
      </w:r>
    </w:p>
    <w:p w:rsidR="002402D9" w:rsidRPr="002E097C" w:rsidRDefault="002402D9" w:rsidP="002402D9">
      <w:pPr>
        <w:pStyle w:val="Considrant"/>
      </w:pPr>
      <w:r w:rsidRPr="002E097C">
        <w:t>šiame sprendime numatytos priemonės atitinka pagal Reglamento (ES) 2016/679 93 straipsnį ir Reglamento (ES) 2018/1725 96 straipsnio 2 dalį įsteigto komiteto nuomonę,</w:t>
      </w:r>
    </w:p>
    <w:p w:rsidR="002402D9" w:rsidRPr="002E097C" w:rsidRDefault="002402D9" w:rsidP="002402D9">
      <w:pPr>
        <w:pStyle w:val="Formuledadoption"/>
      </w:pPr>
      <w:r w:rsidRPr="002E097C">
        <w:t xml:space="preserve">PRIĖMĖ ŠĮ SPRENDIMĄ: </w:t>
      </w:r>
    </w:p>
    <w:p w:rsidR="002402D9" w:rsidRPr="002E097C" w:rsidRDefault="002402D9" w:rsidP="002402D9">
      <w:pPr>
        <w:pStyle w:val="Titrearticle"/>
      </w:pPr>
      <w:r w:rsidRPr="002E097C">
        <w:t>1 straipsnis</w:t>
      </w:r>
    </w:p>
    <w:p w:rsidR="002402D9" w:rsidRPr="002E097C" w:rsidRDefault="002402D9" w:rsidP="002402D9">
      <w:r w:rsidRPr="002E097C">
        <w:t>Priede nustatytos standartinės sutarčių sąlygos atitinka Reglamento (ES) 2016/679 28 straipsnio 3 ir 4 dalyse ir Reglamento (ES) 2018/1725 29 straipsnio 3 ir 4 dalyse nustatytus duomenų valdytojų ir duomenų tvarkytojų sutarčių reikalavimus.</w:t>
      </w:r>
    </w:p>
    <w:p w:rsidR="002402D9" w:rsidRPr="002E097C" w:rsidRDefault="002402D9" w:rsidP="002402D9">
      <w:pPr>
        <w:pStyle w:val="Titrearticle"/>
      </w:pPr>
      <w:r w:rsidRPr="002E097C">
        <w:t>2 straipsnis</w:t>
      </w:r>
    </w:p>
    <w:p w:rsidR="002402D9" w:rsidRPr="002E097C" w:rsidRDefault="002402D9" w:rsidP="002402D9">
      <w:r w:rsidRPr="002E097C">
        <w:t xml:space="preserve">Priede nustatytos standartinės sutarčių sąlygos gali būti naudojamos duomenų valdytojo ir duomenų tvarkytojo, kuris jo vardu tvarko asmens duomenis, sutartyse. </w:t>
      </w:r>
    </w:p>
    <w:p w:rsidR="002402D9" w:rsidRPr="002E097C" w:rsidRDefault="002402D9" w:rsidP="002402D9">
      <w:pPr>
        <w:pStyle w:val="Titrearticle"/>
      </w:pPr>
      <w:r w:rsidRPr="002E097C">
        <w:t>3 straipsnis</w:t>
      </w:r>
    </w:p>
    <w:p w:rsidR="002402D9" w:rsidRPr="002E097C" w:rsidRDefault="002402D9" w:rsidP="002402D9">
      <w:pPr>
        <w:rPr>
          <w:rFonts w:eastAsia="Calibri"/>
        </w:rPr>
      </w:pPr>
      <w:r w:rsidRPr="002E097C">
        <w:t xml:space="preserve">Komisija, remdamasi visa turima informacija, įvertina priede išdėstytų standartinių sutarčių sąlygų praktinį taikymą, atlikdama Reglamento (ES) 2016/679 97 straipsnyje numatytą periodinį vertinimą. </w:t>
      </w:r>
    </w:p>
    <w:p w:rsidR="002402D9" w:rsidRPr="002E097C" w:rsidRDefault="002402D9" w:rsidP="002402D9">
      <w:pPr>
        <w:pStyle w:val="Titrearticle"/>
      </w:pPr>
      <w:r w:rsidRPr="002E097C">
        <w:t>4 straipsnis</w:t>
      </w:r>
    </w:p>
    <w:p w:rsidR="003A69A2" w:rsidRPr="002E097C" w:rsidRDefault="003A69A2" w:rsidP="00135D70">
      <w:r w:rsidRPr="002E097C">
        <w:t xml:space="preserve">Šis sprendimas įsigalioja dvidešimtą dieną po jo paskelbimo </w:t>
      </w:r>
      <w:r w:rsidRPr="002E097C">
        <w:rPr>
          <w:i/>
          <w:iCs/>
        </w:rPr>
        <w:t>Europos Sąjungos oficialiajame leidinyje</w:t>
      </w:r>
      <w:r w:rsidRPr="002E097C">
        <w:t>.</w:t>
      </w:r>
    </w:p>
    <w:p w:rsidR="002402D9" w:rsidRPr="002E097C" w:rsidRDefault="002E097C" w:rsidP="002E097C">
      <w:pPr>
        <w:pStyle w:val="Fait"/>
      </w:pPr>
      <w:r w:rsidRPr="002E097C">
        <w:t>Priimta Briuselyje</w:t>
      </w:r>
    </w:p>
    <w:p w:rsidR="002402D9" w:rsidRPr="002E097C" w:rsidRDefault="002402D9" w:rsidP="002402D9">
      <w:pPr>
        <w:pStyle w:val="Institutionquisigne"/>
        <w:rPr>
          <w:color w:val="000000" w:themeColor="text1"/>
        </w:rPr>
      </w:pPr>
      <w:r w:rsidRPr="002E097C">
        <w:tab/>
      </w:r>
      <w:r w:rsidRPr="002E097C">
        <w:rPr>
          <w:color w:val="000000" w:themeColor="text1"/>
        </w:rPr>
        <w:t>Komisijos vardu</w:t>
      </w:r>
    </w:p>
    <w:p w:rsidR="002402D9" w:rsidRPr="002E097C" w:rsidRDefault="002402D9" w:rsidP="002402D9">
      <w:pPr>
        <w:pStyle w:val="Personnequisigne"/>
      </w:pPr>
      <w:r w:rsidRPr="002E097C">
        <w:tab/>
        <w:t>Ursula VON DER LEYEN</w:t>
      </w:r>
    </w:p>
    <w:p w:rsidR="002402D9" w:rsidRPr="002E097C" w:rsidRDefault="002402D9" w:rsidP="00F476B5">
      <w:pPr>
        <w:pStyle w:val="Personnequisigne"/>
        <w:rPr>
          <w:color w:val="000000" w:themeColor="text1"/>
        </w:rPr>
      </w:pPr>
      <w:r w:rsidRPr="002E097C">
        <w:tab/>
      </w:r>
      <w:r w:rsidRPr="002E097C">
        <w:rPr>
          <w:color w:val="000000" w:themeColor="text1"/>
        </w:rPr>
        <w:t xml:space="preserve">Pirmininkė </w:t>
      </w:r>
    </w:p>
    <w:sectPr w:rsidR="002402D9" w:rsidRPr="002E097C" w:rsidSect="002E097C">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C74" w:rsidRPr="002E097C" w:rsidRDefault="002E097C" w:rsidP="002E097C">
    <w:pPr>
      <w:pStyle w:val="Footer"/>
      <w:rPr>
        <w:rFonts w:ascii="Arial" w:hAnsi="Arial" w:cs="Arial"/>
        <w:b/>
        <w:sz w:val="48"/>
      </w:rPr>
    </w:pPr>
    <w:r w:rsidRPr="002E097C">
      <w:rPr>
        <w:rFonts w:ascii="Arial" w:hAnsi="Arial" w:cs="Arial"/>
        <w:b/>
        <w:sz w:val="48"/>
      </w:rPr>
      <w:t>LT</w:t>
    </w:r>
    <w:r w:rsidRPr="002E097C">
      <w:rPr>
        <w:rFonts w:ascii="Arial" w:hAnsi="Arial" w:cs="Arial"/>
        <w:b/>
        <w:sz w:val="48"/>
      </w:rPr>
      <w:tab/>
    </w:r>
    <w:r w:rsidRPr="002E097C">
      <w:rPr>
        <w:rFonts w:ascii="Arial" w:hAnsi="Arial" w:cs="Arial"/>
        <w:b/>
        <w:sz w:val="48"/>
      </w:rPr>
      <w:tab/>
    </w:r>
    <w:r w:rsidRPr="002E097C">
      <w:tab/>
    </w:r>
    <w:r w:rsidRPr="002E097C">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97C" w:rsidRPr="002E097C" w:rsidRDefault="002E097C" w:rsidP="002E097C">
    <w:pPr>
      <w:pStyle w:val="Footer"/>
      <w:rPr>
        <w:rFonts w:ascii="Arial" w:hAnsi="Arial" w:cs="Arial"/>
        <w:b/>
        <w:sz w:val="48"/>
      </w:rPr>
    </w:pPr>
    <w:r w:rsidRPr="002E097C">
      <w:rPr>
        <w:rFonts w:ascii="Arial" w:hAnsi="Arial" w:cs="Arial"/>
        <w:b/>
        <w:sz w:val="48"/>
      </w:rPr>
      <w:t>LT</w:t>
    </w:r>
    <w:r w:rsidRPr="002E097C">
      <w:rPr>
        <w:rFonts w:ascii="Arial" w:hAnsi="Arial" w:cs="Arial"/>
        <w:b/>
        <w:sz w:val="48"/>
      </w:rPr>
      <w:tab/>
    </w:r>
    <w:r>
      <w:fldChar w:fldCharType="begin"/>
    </w:r>
    <w:r>
      <w:instrText xml:space="preserve"> PAGE  \* MERGEFORMAT </w:instrText>
    </w:r>
    <w:r>
      <w:fldChar w:fldCharType="separate"/>
    </w:r>
    <w:r w:rsidR="007E09BB">
      <w:rPr>
        <w:noProof/>
      </w:rPr>
      <w:t>1</w:t>
    </w:r>
    <w:r>
      <w:fldChar w:fldCharType="end"/>
    </w:r>
    <w:r>
      <w:tab/>
    </w:r>
    <w:r w:rsidRPr="002E097C">
      <w:tab/>
    </w:r>
    <w:r w:rsidRPr="002E097C">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97C" w:rsidRPr="002E097C" w:rsidRDefault="002E097C" w:rsidP="002E0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OL L 119, 2016 5 4, p. 1.</w:t>
      </w:r>
    </w:p>
  </w:footnote>
  <w:footnote w:id="2">
    <w:p w:rsidR="002402D9" w:rsidRPr="00EA7EE3" w:rsidRDefault="002402D9" w:rsidP="002402D9">
      <w:pPr>
        <w:pStyle w:val="FootnoteText"/>
        <w:ind w:left="284" w:hanging="284"/>
      </w:pPr>
      <w:r>
        <w:rPr>
          <w:rStyle w:val="FootnoteReference"/>
        </w:rPr>
        <w:footnoteRef/>
      </w:r>
      <w:r>
        <w:tab/>
        <w:t>OL L 295, 2018 11 21, p. 39.</w:t>
      </w:r>
    </w:p>
  </w:footnote>
  <w:footnote w:id="3">
    <w:p w:rsidR="002402D9" w:rsidRPr="003C5835" w:rsidRDefault="002402D9" w:rsidP="00EA7EE3">
      <w:pPr>
        <w:pStyle w:val="FootnoteText"/>
        <w:ind w:left="284" w:hanging="284"/>
      </w:pPr>
      <w:r>
        <w:rPr>
          <w:rStyle w:val="FootnoteReference"/>
        </w:rPr>
        <w:footnoteRef/>
      </w:r>
      <w:r>
        <w:tab/>
        <w:t>EDAV ir EDAPP bendra nuomonė Nr. 1/2021 dėl</w:t>
      </w:r>
      <w:r w:rsidR="002E097C">
        <w:t xml:space="preserve"> </w:t>
      </w:r>
      <w:r>
        <w:t>Europos Komisijos įgyvendinimo sprendimo dėl duomenų valdytojų ir duomenų tvarkytojų standartinių sutarčių sąlygų, apimančių klausimus, nurodytus Reglamento (ES) 2016/679 28 straipsnio 7 dalyje ir Reglamento (ES) 2018/1725 29 straipsnio 7 dalyje.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3:59:2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752471AE-1670-44D9-93E2-44B3DD6B975F"/>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 "/>
    <w:docVar w:name="LW_ID_DOCMODEL" w:val="SJ-032"/>
    <w:docVar w:name="LW_ID_DOCSIGNATURE" w:val="SJ-032"/>
    <w:docVar w:name="LW_ID_DOCSTRUCTURE" w:val="COM/AA"/>
    <w:docVar w:name="LW_ID_DOCTYPE" w:val="SJ-032"/>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u279?l duomen\u371? valdytoj\u371? ir duomen\u371? tvarkytoj\u371? standartini\u371? sutar\u269?i\u371? s\u261?lyg\u371? pagal Europos Parlamento ir Tarybos reglamento (ES) 2016/679 28 straipsnio 7 dal\u303? ir Europos Parlamento ir Tarybos reglamento (ES) 2018/1725 29 straipsnio 7 dal\u303?"/>
    <w:docVar w:name="LW_TYPE.DOC.CP" w:val="KOMISIJOS \u302?GYVENDINIMO SPRENDIMAS (ES) \u8230?/..."/>
  </w:docVars>
  <w:rsids>
    <w:rsidRoot w:val="002402D9"/>
    <w:rsid w:val="000A7517"/>
    <w:rsid w:val="000E198E"/>
    <w:rsid w:val="00135D70"/>
    <w:rsid w:val="00151F7C"/>
    <w:rsid w:val="00176015"/>
    <w:rsid w:val="001C2816"/>
    <w:rsid w:val="002040A1"/>
    <w:rsid w:val="00232E98"/>
    <w:rsid w:val="00237340"/>
    <w:rsid w:val="002402D9"/>
    <w:rsid w:val="00252115"/>
    <w:rsid w:val="002532DA"/>
    <w:rsid w:val="00275FE2"/>
    <w:rsid w:val="002C0FB7"/>
    <w:rsid w:val="002E097C"/>
    <w:rsid w:val="00364079"/>
    <w:rsid w:val="003A69A2"/>
    <w:rsid w:val="0048570C"/>
    <w:rsid w:val="004D6C74"/>
    <w:rsid w:val="004F2DF0"/>
    <w:rsid w:val="005951BB"/>
    <w:rsid w:val="005D6D0A"/>
    <w:rsid w:val="006E1BCC"/>
    <w:rsid w:val="0070128F"/>
    <w:rsid w:val="007C06F6"/>
    <w:rsid w:val="007D5587"/>
    <w:rsid w:val="007E09BB"/>
    <w:rsid w:val="00894AF5"/>
    <w:rsid w:val="009237D1"/>
    <w:rsid w:val="00942512"/>
    <w:rsid w:val="00986B33"/>
    <w:rsid w:val="00986D45"/>
    <w:rsid w:val="00987AD5"/>
    <w:rsid w:val="009A12DF"/>
    <w:rsid w:val="009B7138"/>
    <w:rsid w:val="00AB596B"/>
    <w:rsid w:val="00BE246D"/>
    <w:rsid w:val="00BF17AA"/>
    <w:rsid w:val="00C24556"/>
    <w:rsid w:val="00CC49B0"/>
    <w:rsid w:val="00D60C6C"/>
    <w:rsid w:val="00D64D62"/>
    <w:rsid w:val="00DC435D"/>
    <w:rsid w:val="00DF46BA"/>
    <w:rsid w:val="00DF6773"/>
    <w:rsid w:val="00DF6971"/>
    <w:rsid w:val="00E37448"/>
    <w:rsid w:val="00EA7EE3"/>
    <w:rsid w:val="00ED3E3C"/>
    <w:rsid w:val="00F063D0"/>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lt-LT"/>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lt-L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1093</Words>
  <Characters>7178</Characters>
  <Application>Microsoft Office Word</Application>
  <DocSecurity>0</DocSecurity>
  <Lines>122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KALPOKAITE Vida (DGT)</cp:lastModifiedBy>
  <cp:revision>3</cp:revision>
  <dcterms:created xsi:type="dcterms:W3CDTF">2021-05-20T11:59:00Z</dcterms:created>
  <dcterms:modified xsi:type="dcterms:W3CDTF">2021-05-20T11:59:00Z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